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left"/>
      </w:pPr>
      <w:r>
        <w:rPr>
          <w:b/>
          <w:color w:val="B21F2C"/>
          <w:sz w:val="20"/>
        </w:rPr>
        <w:t>THE CATHOLIC UNIVERSITY OF AMERICA</w:t>
      </w:r>
    </w:p>
    <w:p>
      <w:r>
        <w:rPr>
          <w:b/>
          <w:color w:val="0A3255"/>
          <w:sz w:val="48"/>
        </w:rPr>
        <w:t>Creation Guide: Sample Undergraduate Attendance Results Deck</w:t>
      </w:r>
    </w:p>
    <w:p>
      <w:pPr/>
      <w:r>
        <w:t>This guide documents the steps used to create the 9-slide sample deck and ties each step back to the CUA AI Presentation Guide. The dataset is fictional and intended only to demonstrate presentation structure, branding discipline, and responsible AI use.</w:t>
      </w:r>
    </w:p>
    <w:tbl>
      <w:tblPr>
        <w:tblStyle w:val="TableGrid"/>
        <w:tblW w:type="auto" w:w="0"/>
        <w:jc w:val="center"/>
        <w:tblLook w:firstColumn="1" w:firstRow="1" w:lastColumn="0" w:lastRow="0" w:noHBand="0" w:noVBand="1" w:val="04A0"/>
      </w:tblPr>
      <w:tblGrid>
        <w:gridCol w:w="3456"/>
        <w:gridCol w:w="3456"/>
        <w:gridCol w:w="3456"/>
      </w:tblGrid>
      <w:tr>
        <w:tc>
          <w:tcPr>
            <w:tcW w:type="dxa" w:w="3456"/>
            <w:shd w:fill="0A3255"/>
          </w:tcPr>
          <w:p>
            <w:r/>
            <w:r>
              <w:rPr>
                <w:b/>
                <w:color w:val="FFFFFF"/>
                <w:sz w:val="18"/>
              </w:rPr>
              <w:t>Deck length</w:t>
            </w:r>
          </w:p>
        </w:tc>
        <w:tc>
          <w:tcPr>
            <w:tcW w:type="dxa" w:w="3456"/>
            <w:shd w:fill="0A3255"/>
          </w:tcPr>
          <w:p>
            <w:r/>
            <w:r>
              <w:rPr>
                <w:b/>
                <w:color w:val="FFFFFF"/>
                <w:sz w:val="18"/>
              </w:rPr>
              <w:t>Data status</w:t>
            </w:r>
          </w:p>
        </w:tc>
        <w:tc>
          <w:tcPr>
            <w:tcW w:type="dxa" w:w="3456"/>
            <w:shd w:fill="0A3255"/>
          </w:tcPr>
          <w:p>
            <w:r/>
            <w:r>
              <w:rPr>
                <w:b/>
                <w:color w:val="FFFFFF"/>
                <w:sz w:val="18"/>
              </w:rPr>
              <w:t>Primary audience</w:t>
            </w:r>
          </w:p>
        </w:tc>
      </w:tr>
      <w:tr>
        <w:tc>
          <w:tcPr>
            <w:tcW w:type="dxa" w:w="3456"/>
            <w:shd w:fill="EFEBE9"/>
          </w:tcPr>
          <w:p>
            <w:r/>
            <w:r>
              <w:rPr>
                <w:b w:val="0"/>
                <w:color w:val="17212B"/>
                <w:sz w:val="18"/>
              </w:rPr>
              <w:t>9 slides</w:t>
            </w:r>
          </w:p>
        </w:tc>
        <w:tc>
          <w:tcPr>
            <w:tcW w:type="dxa" w:w="3456"/>
            <w:shd w:fill="EFEBE9"/>
          </w:tcPr>
          <w:p>
            <w:r/>
            <w:r>
              <w:rPr>
                <w:b w:val="0"/>
                <w:color w:val="17212B"/>
                <w:sz w:val="18"/>
              </w:rPr>
              <w:t>Fictional sample data</w:t>
            </w:r>
          </w:p>
        </w:tc>
        <w:tc>
          <w:tcPr>
            <w:tcW w:type="dxa" w:w="3456"/>
            <w:shd w:fill="EFEBE9"/>
          </w:tcPr>
          <w:p>
            <w:r/>
            <w:r>
              <w:rPr>
                <w:b w:val="0"/>
                <w:color w:val="17212B"/>
                <w:sz w:val="18"/>
              </w:rPr>
              <w:t>Academic and student-success leaders</w:t>
            </w:r>
          </w:p>
        </w:tc>
      </w:tr>
    </w:tbl>
    <w:p>
      <w:pPr>
        <w:pStyle w:val="Heading1"/>
      </w:pPr>
      <w:r>
        <w:t>1. Define the assignment before designing</w:t>
      </w:r>
    </w:p>
    <w:p>
      <w:r>
        <w:t>Referenced guide section: “Use AI as a creative assistant, not the final authority” and the first workflow step, “Define.”</w:t>
      </w:r>
    </w:p>
    <w:p>
      <w:r>
        <w:t>The deck was framed as a sample university undergraduate attendance results presentation. Before drafting slides, the following constraints were set:</w:t>
      </w:r>
    </w:p>
    <w:p>
      <w:pPr>
        <w:pStyle w:val="ListBullet"/>
      </w:pPr>
      <w:r>
        <w:t>Use fictional attendance data only, with clear labeling so it is not mistaken for institutional reporting.</w:t>
      </w:r>
    </w:p>
    <w:p>
      <w:pPr>
        <w:pStyle w:val="ListBullet"/>
      </w:pPr>
      <w:r>
        <w:t>Create exactly 9 slides with a concise executive narrative.</w:t>
      </w:r>
    </w:p>
    <w:p>
      <w:pPr>
        <w:pStyle w:val="ListBullet"/>
      </w:pPr>
      <w:r>
        <w:t>Use CUA colors and a clean academic visual style throughout.</w:t>
      </w:r>
    </w:p>
    <w:p>
      <w:pPr>
        <w:pStyle w:val="ListBullet"/>
      </w:pPr>
      <w:r>
        <w:t>Include graphics that explain the data rather than decorate the slides.</w:t>
      </w:r>
    </w:p>
    <w:p>
      <w:pPr>
        <w:pStyle w:val="ListBullet"/>
      </w:pPr>
      <w:r>
        <w:t>Avoid personal student data, confidential records, and policy claims.</w:t>
      </w:r>
    </w:p>
    <w:p>
      <w:pPr>
        <w:pStyle w:val="Heading1"/>
      </w:pPr>
      <w:r>
        <w:t>2. Draft the AI planning prompt</w:t>
      </w:r>
    </w:p>
    <w:p>
      <w:r>
        <w:t>Referenced guide section: “Prompting AI.” The prompt followed the guide’s recommended pattern: role, task, goal, requirements, brand, and fact-checking guardrails.</w:t>
      </w:r>
    </w:p>
    <w:tbl>
      <w:tblPr>
        <w:tblStyle w:val="TableGrid"/>
        <w:tblW w:type="auto" w:w="0"/>
        <w:tblLook w:firstColumn="1" w:firstRow="1" w:lastColumn="0" w:lastRow="0" w:noHBand="0" w:noVBand="1" w:val="04A0"/>
      </w:tblPr>
      <w:tblGrid>
        <w:gridCol w:w="10368"/>
      </w:tblGrid>
      <w:tr>
        <w:tc>
          <w:tcPr>
            <w:tcW w:type="dxa" w:w="10368"/>
            <w:shd w:fill="F7F3ED"/>
          </w:tcPr>
          <w:p>
            <w:r/>
            <w:r>
              <w:rPr>
                <w:b w:val="0"/>
                <w:color w:val="17212B"/>
                <w:sz w:val="17"/>
              </w:rPr>
              <w:t>Prompt used: Act as an experienced higher education presentation designer. Create a 9-slide sample deck about undergraduate attendance results for academic and student-success leaders. Use fictional data only. Provide one clear message per slide, concise bullets, suggested visuals, and speaker-ready slide titles. Follow The Catholic University of America visual identity using Catholic Blue and Catholic Red as primary colors. Flag anything that would require real institutional verification.</w:t>
            </w:r>
          </w:p>
        </w:tc>
      </w:tr>
    </w:tbl>
    <w:p>
      <w:pPr>
        <w:pStyle w:val="Heading1"/>
      </w:pPr>
      <w:r>
        <w:t>3. Build the 9-slide outline</w:t>
      </w:r>
    </w:p>
    <w:p>
      <w:r>
        <w:t>Referenced guide section: “From rough idea to finished presentation,” especially Outline and Draft. The outline was kept intentionally simple so the story moves from context to findings to action.</w:t>
      </w:r>
    </w:p>
    <w:tbl>
      <w:tblPr>
        <w:tblStyle w:val="TableGrid"/>
        <w:tblW w:type="auto" w:w="0"/>
        <w:jc w:val="center"/>
        <w:tblLook w:firstColumn="1" w:firstRow="1" w:lastColumn="0" w:lastRow="0" w:noHBand="0" w:noVBand="1" w:val="04A0"/>
      </w:tblPr>
      <w:tblGrid>
        <w:gridCol w:w="3456"/>
        <w:gridCol w:w="3456"/>
        <w:gridCol w:w="3456"/>
      </w:tblGrid>
      <w:tr>
        <w:tc>
          <w:tcPr>
            <w:tcW w:type="dxa" w:w="3456"/>
            <w:shd w:fill="0A3255"/>
          </w:tcPr>
          <w:p>
            <w:r/>
            <w:r>
              <w:rPr>
                <w:b/>
                <w:color w:val="FFFFFF"/>
                <w:sz w:val="17"/>
              </w:rPr>
              <w:t>Slide</w:t>
            </w:r>
          </w:p>
        </w:tc>
        <w:tc>
          <w:tcPr>
            <w:tcW w:type="dxa" w:w="3456"/>
            <w:shd w:fill="0A3255"/>
          </w:tcPr>
          <w:p>
            <w:r/>
            <w:r>
              <w:rPr>
                <w:b/>
                <w:color w:val="FFFFFF"/>
                <w:sz w:val="17"/>
              </w:rPr>
              <w:t>Purpose</w:t>
            </w:r>
          </w:p>
        </w:tc>
        <w:tc>
          <w:tcPr>
            <w:tcW w:type="dxa" w:w="3456"/>
            <w:shd w:fill="0A3255"/>
          </w:tcPr>
          <w:p>
            <w:r/>
            <w:r>
              <w:rPr>
                <w:b/>
                <w:color w:val="FFFFFF"/>
                <w:sz w:val="17"/>
              </w:rPr>
              <w:t>Guide connection</w:t>
            </w:r>
          </w:p>
        </w:tc>
      </w:tr>
      <w:tr>
        <w:tc>
          <w:tcPr>
            <w:tcW w:type="dxa" w:w="3456"/>
          </w:tcPr>
          <w:p>
            <w:r/>
            <w:r>
              <w:rPr>
                <w:b w:val="0"/>
                <w:color w:val="17212B"/>
                <w:sz w:val="16"/>
              </w:rPr>
              <w:t>1</w:t>
            </w:r>
          </w:p>
        </w:tc>
        <w:tc>
          <w:tcPr>
            <w:tcW w:type="dxa" w:w="3456"/>
          </w:tcPr>
          <w:p>
            <w:r/>
            <w:r>
              <w:rPr>
                <w:b w:val="0"/>
                <w:color w:val="17212B"/>
                <w:sz w:val="16"/>
              </w:rPr>
              <w:t>Title and framing</w:t>
            </w:r>
          </w:p>
        </w:tc>
        <w:tc>
          <w:tcPr>
            <w:tcW w:type="dxa" w:w="3456"/>
          </w:tcPr>
          <w:p>
            <w:r/>
            <w:r>
              <w:rPr>
                <w:b w:val="0"/>
                <w:color w:val="17212B"/>
                <w:sz w:val="16"/>
              </w:rPr>
              <w:t>Minimal title slide</w:t>
            </w:r>
          </w:p>
        </w:tc>
      </w:tr>
      <w:tr>
        <w:tc>
          <w:tcPr>
            <w:tcW w:type="dxa" w:w="3456"/>
          </w:tcPr>
          <w:p>
            <w:r/>
            <w:r>
              <w:rPr>
                <w:b w:val="0"/>
                <w:color w:val="17212B"/>
                <w:sz w:val="16"/>
              </w:rPr>
              <w:t>2</w:t>
            </w:r>
          </w:p>
        </w:tc>
        <w:tc>
          <w:tcPr>
            <w:tcW w:type="dxa" w:w="3456"/>
          </w:tcPr>
          <w:p>
            <w:r/>
            <w:r>
              <w:rPr>
                <w:b w:val="0"/>
                <w:color w:val="17212B"/>
                <w:sz w:val="16"/>
              </w:rPr>
              <w:t>Scope and method</w:t>
            </w:r>
          </w:p>
        </w:tc>
        <w:tc>
          <w:tcPr>
            <w:tcW w:type="dxa" w:w="3456"/>
          </w:tcPr>
          <w:p>
            <w:r/>
            <w:r>
              <w:rPr>
                <w:b w:val="0"/>
                <w:color w:val="17212B"/>
                <w:sz w:val="16"/>
              </w:rPr>
              <w:t>Define source material and constraints</w:t>
            </w:r>
          </w:p>
        </w:tc>
      </w:tr>
      <w:tr>
        <w:tc>
          <w:tcPr>
            <w:tcW w:type="dxa" w:w="3456"/>
          </w:tcPr>
          <w:p>
            <w:r/>
            <w:r>
              <w:rPr>
                <w:b w:val="0"/>
                <w:color w:val="17212B"/>
                <w:sz w:val="16"/>
              </w:rPr>
              <w:t>3</w:t>
            </w:r>
          </w:p>
        </w:tc>
        <w:tc>
          <w:tcPr>
            <w:tcW w:type="dxa" w:w="3456"/>
          </w:tcPr>
          <w:p>
            <w:r/>
            <w:r>
              <w:rPr>
                <w:b w:val="0"/>
                <w:color w:val="17212B"/>
                <w:sz w:val="16"/>
              </w:rPr>
              <w:t>Executive summary</w:t>
            </w:r>
          </w:p>
        </w:tc>
        <w:tc>
          <w:tcPr>
            <w:tcW w:type="dxa" w:w="3456"/>
          </w:tcPr>
          <w:p>
            <w:r/>
            <w:r>
              <w:rPr>
                <w:b w:val="0"/>
                <w:color w:val="17212B"/>
                <w:sz w:val="16"/>
              </w:rPr>
              <w:t>One main idea per slide</w:t>
            </w:r>
          </w:p>
        </w:tc>
      </w:tr>
      <w:tr>
        <w:tc>
          <w:tcPr>
            <w:tcW w:type="dxa" w:w="3456"/>
          </w:tcPr>
          <w:p>
            <w:r/>
            <w:r>
              <w:rPr>
                <w:b w:val="0"/>
                <w:color w:val="17212B"/>
                <w:sz w:val="16"/>
              </w:rPr>
              <w:t>4</w:t>
            </w:r>
          </w:p>
        </w:tc>
        <w:tc>
          <w:tcPr>
            <w:tcW w:type="dxa" w:w="3456"/>
          </w:tcPr>
          <w:p>
            <w:r/>
            <w:r>
              <w:rPr>
                <w:b w:val="0"/>
                <w:color w:val="17212B"/>
                <w:sz w:val="16"/>
              </w:rPr>
              <w:t>Weekly trend</w:t>
            </w:r>
          </w:p>
        </w:tc>
        <w:tc>
          <w:tcPr>
            <w:tcW w:type="dxa" w:w="3456"/>
          </w:tcPr>
          <w:p>
            <w:r/>
            <w:r>
              <w:rPr>
                <w:b w:val="0"/>
                <w:color w:val="17212B"/>
                <w:sz w:val="16"/>
              </w:rPr>
              <w:t>Use data visualization</w:t>
            </w:r>
          </w:p>
        </w:tc>
      </w:tr>
      <w:tr>
        <w:tc>
          <w:tcPr>
            <w:tcW w:type="dxa" w:w="3456"/>
          </w:tcPr>
          <w:p>
            <w:r/>
            <w:r>
              <w:rPr>
                <w:b w:val="0"/>
                <w:color w:val="17212B"/>
                <w:sz w:val="16"/>
              </w:rPr>
              <w:t>5</w:t>
            </w:r>
          </w:p>
        </w:tc>
        <w:tc>
          <w:tcPr>
            <w:tcW w:type="dxa" w:w="3456"/>
          </w:tcPr>
          <w:p>
            <w:r/>
            <w:r>
              <w:rPr>
                <w:b w:val="0"/>
                <w:color w:val="17212B"/>
                <w:sz w:val="16"/>
              </w:rPr>
              <w:t>College variation</w:t>
            </w:r>
          </w:p>
        </w:tc>
        <w:tc>
          <w:tcPr>
            <w:tcW w:type="dxa" w:w="3456"/>
          </w:tcPr>
          <w:p>
            <w:r/>
            <w:r>
              <w:rPr>
                <w:b w:val="0"/>
                <w:color w:val="17212B"/>
                <w:sz w:val="16"/>
              </w:rPr>
              <w:t>Compare patterns carefully</w:t>
            </w:r>
          </w:p>
        </w:tc>
      </w:tr>
      <w:tr>
        <w:tc>
          <w:tcPr>
            <w:tcW w:type="dxa" w:w="3456"/>
          </w:tcPr>
          <w:p>
            <w:r/>
            <w:r>
              <w:rPr>
                <w:b w:val="0"/>
                <w:color w:val="17212B"/>
                <w:sz w:val="16"/>
              </w:rPr>
              <w:t>6</w:t>
            </w:r>
          </w:p>
        </w:tc>
        <w:tc>
          <w:tcPr>
            <w:tcW w:type="dxa" w:w="3456"/>
          </w:tcPr>
          <w:p>
            <w:r/>
            <w:r>
              <w:rPr>
                <w:b w:val="0"/>
                <w:color w:val="17212B"/>
                <w:sz w:val="16"/>
              </w:rPr>
              <w:t>Class level view</w:t>
            </w:r>
          </w:p>
        </w:tc>
        <w:tc>
          <w:tcPr>
            <w:tcW w:type="dxa" w:w="3456"/>
          </w:tcPr>
          <w:p>
            <w:r/>
            <w:r>
              <w:rPr>
                <w:b w:val="0"/>
                <w:color w:val="17212B"/>
                <w:sz w:val="16"/>
              </w:rPr>
              <w:t>Turn findings into audience insight</w:t>
            </w:r>
          </w:p>
        </w:tc>
      </w:tr>
      <w:tr>
        <w:tc>
          <w:tcPr>
            <w:tcW w:type="dxa" w:w="3456"/>
          </w:tcPr>
          <w:p>
            <w:r/>
            <w:r>
              <w:rPr>
                <w:b w:val="0"/>
                <w:color w:val="17212B"/>
                <w:sz w:val="16"/>
              </w:rPr>
              <w:t>7</w:t>
            </w:r>
          </w:p>
        </w:tc>
        <w:tc>
          <w:tcPr>
            <w:tcW w:type="dxa" w:w="3456"/>
          </w:tcPr>
          <w:p>
            <w:r/>
            <w:r>
              <w:rPr>
                <w:b w:val="0"/>
                <w:color w:val="17212B"/>
                <w:sz w:val="16"/>
              </w:rPr>
              <w:t>Modality view</w:t>
            </w:r>
          </w:p>
        </w:tc>
        <w:tc>
          <w:tcPr>
            <w:tcW w:type="dxa" w:w="3456"/>
          </w:tcPr>
          <w:p>
            <w:r/>
            <w:r>
              <w:rPr>
                <w:b w:val="0"/>
                <w:color w:val="17212B"/>
                <w:sz w:val="16"/>
              </w:rPr>
              <w:t>Add context and avoid overclaiming</w:t>
            </w:r>
          </w:p>
        </w:tc>
      </w:tr>
      <w:tr>
        <w:tc>
          <w:tcPr>
            <w:tcW w:type="dxa" w:w="3456"/>
          </w:tcPr>
          <w:p>
            <w:r/>
            <w:r>
              <w:rPr>
                <w:b w:val="0"/>
                <w:color w:val="17212B"/>
                <w:sz w:val="16"/>
              </w:rPr>
              <w:t>8</w:t>
            </w:r>
          </w:p>
        </w:tc>
        <w:tc>
          <w:tcPr>
            <w:tcW w:type="dxa" w:w="3456"/>
          </w:tcPr>
          <w:p>
            <w:r/>
            <w:r>
              <w:rPr>
                <w:b w:val="0"/>
                <w:color w:val="17212B"/>
                <w:sz w:val="16"/>
              </w:rPr>
              <w:t>Intervention model</w:t>
            </w:r>
          </w:p>
        </w:tc>
        <w:tc>
          <w:tcPr>
            <w:tcW w:type="dxa" w:w="3456"/>
          </w:tcPr>
          <w:p>
            <w:r/>
            <w:r>
              <w:rPr>
                <w:b w:val="0"/>
                <w:color w:val="17212B"/>
                <w:sz w:val="16"/>
              </w:rPr>
              <w:t>Visualize the recommended response</w:t>
            </w:r>
          </w:p>
        </w:tc>
      </w:tr>
      <w:tr>
        <w:tc>
          <w:tcPr>
            <w:tcW w:type="dxa" w:w="3456"/>
          </w:tcPr>
          <w:p>
            <w:r/>
            <w:r>
              <w:rPr>
                <w:b w:val="0"/>
                <w:color w:val="17212B"/>
                <w:sz w:val="16"/>
              </w:rPr>
              <w:t>9</w:t>
            </w:r>
          </w:p>
        </w:tc>
        <w:tc>
          <w:tcPr>
            <w:tcW w:type="dxa" w:w="3456"/>
          </w:tcPr>
          <w:p>
            <w:r/>
            <w:r>
              <w:rPr>
                <w:b w:val="0"/>
                <w:color w:val="17212B"/>
                <w:sz w:val="16"/>
              </w:rPr>
              <w:t>Next steps</w:t>
            </w:r>
          </w:p>
        </w:tc>
        <w:tc>
          <w:tcPr>
            <w:tcW w:type="dxa" w:w="3456"/>
          </w:tcPr>
          <w:p>
            <w:r/>
            <w:r>
              <w:rPr>
                <w:b w:val="0"/>
                <w:color w:val="17212B"/>
                <w:sz w:val="16"/>
              </w:rPr>
              <w:t>Close with a practical action plan</w:t>
            </w:r>
          </w:p>
        </w:tc>
      </w:tr>
    </w:tbl>
    <w:p>
      <w:pPr>
        <w:pStyle w:val="Heading1"/>
      </w:pPr>
      <w:r>
        <w:t>4. Create sample data and graphics</w:t>
      </w:r>
    </w:p>
    <w:p>
      <w:r>
        <w:t>Referenced guide section: “Create visuals that support the message.” The graphics were built from a synthetic dataset and exported as separate PNG images before being placed in the deck.</w:t>
      </w:r>
    </w:p>
    <w:p>
      <w:pPr>
        <w:pStyle w:val="ListBullet"/>
      </w:pPr>
      <w:r>
        <w:t>Weekly attendance trend line chart: shows semester decline over 14 weeks.</w:t>
      </w:r>
    </w:p>
    <w:p>
      <w:pPr>
        <w:pStyle w:val="ListBullet"/>
      </w:pPr>
      <w:r>
        <w:t>College attendance bar chart: shows variation by academic unit.</w:t>
      </w:r>
    </w:p>
    <w:p>
      <w:pPr>
        <w:pStyle w:val="ListBullet"/>
      </w:pPr>
      <w:r>
        <w:t>Class level horizontal bar chart: shows first-year students as the earliest intervention group.</w:t>
      </w:r>
    </w:p>
    <w:p>
      <w:pPr>
        <w:pStyle w:val="ListBullet"/>
      </w:pPr>
      <w:r>
        <w:t>Modality bar chart: shows differences across in-person, hybrid, and online synchronous courses.</w:t>
      </w:r>
    </w:p>
    <w:p>
      <w:pPr>
        <w:pStyle w:val="ListBullet"/>
      </w:pPr>
      <w:r>
        <w:t>Intervention model graphic: turns the findings into a support workflow.</w:t>
      </w:r>
    </w:p>
    <w:p>
      <w:r>
        <w:t>The guide’s advice was applied by keeping chart labels short, using verified values from the synthetic dataset, and avoiding AI-invented statistics. The deck clearly marks the data as fictional sample data.</w:t>
      </w:r>
    </w:p>
    <w:p>
      <w:pPr>
        <w:pStyle w:val="Heading1"/>
      </w:pPr>
      <w:r>
        <w:t>5. Apply CUA brand consistency</w:t>
      </w:r>
    </w:p>
    <w:p>
      <w:r>
        <w:t>Referenced guide section: “Build a small design system before building slides.” The deck uses a repeated structure instead of treating each slide as a separate design.</w:t>
      </w:r>
    </w:p>
    <w:tbl>
      <w:tblPr>
        <w:tblStyle w:val="TableGrid"/>
        <w:tblW w:type="auto" w:w="0"/>
        <w:tblLook w:firstColumn="1" w:firstRow="1" w:lastColumn="0" w:lastRow="0" w:noHBand="0" w:noVBand="1" w:val="04A0"/>
      </w:tblPr>
      <w:tblGrid>
        <w:gridCol w:w="5184"/>
        <w:gridCol w:w="5184"/>
      </w:tblGrid>
      <w:tr>
        <w:tc>
          <w:tcPr>
            <w:tcW w:type="dxa" w:w="5184"/>
            <w:shd w:fill="B21F2C"/>
          </w:tcPr>
          <w:p>
            <w:r/>
            <w:r>
              <w:rPr>
                <w:b/>
                <w:color w:val="FFFFFF"/>
                <w:sz w:val="17"/>
              </w:rPr>
              <w:t>Brand choice</w:t>
            </w:r>
          </w:p>
        </w:tc>
        <w:tc>
          <w:tcPr>
            <w:tcW w:type="dxa" w:w="5184"/>
            <w:shd w:fill="B21F2C"/>
          </w:tcPr>
          <w:p>
            <w:r/>
            <w:r>
              <w:rPr>
                <w:b/>
                <w:color w:val="FFFFFF"/>
                <w:sz w:val="17"/>
              </w:rPr>
              <w:t>How it was applied</w:t>
            </w:r>
          </w:p>
        </w:tc>
      </w:tr>
      <w:tr>
        <w:tc>
          <w:tcPr>
            <w:tcW w:type="dxa" w:w="5184"/>
          </w:tcPr>
          <w:p>
            <w:r/>
            <w:r>
              <w:rPr>
                <w:b/>
                <w:color w:val="17212B"/>
                <w:sz w:val="16"/>
              </w:rPr>
              <w:t>Primary colors</w:t>
            </w:r>
          </w:p>
        </w:tc>
        <w:tc>
          <w:tcPr>
            <w:tcW w:type="dxa" w:w="5184"/>
          </w:tcPr>
          <w:p>
            <w:r/>
            <w:r>
              <w:rPr>
                <w:b w:val="0"/>
                <w:color w:val="17212B"/>
                <w:sz w:val="16"/>
              </w:rPr>
              <w:t>Catholic Blue and Catholic Red dominate titles, callouts, charts, and key metrics.</w:t>
            </w:r>
          </w:p>
        </w:tc>
      </w:tr>
      <w:tr>
        <w:tc>
          <w:tcPr>
            <w:tcW w:type="dxa" w:w="5184"/>
          </w:tcPr>
          <w:p>
            <w:r/>
            <w:r>
              <w:rPr>
                <w:b/>
                <w:color w:val="17212B"/>
                <w:sz w:val="16"/>
              </w:rPr>
              <w:t>Neutral space</w:t>
            </w:r>
          </w:p>
        </w:tc>
        <w:tc>
          <w:tcPr>
            <w:tcW w:type="dxa" w:w="5184"/>
          </w:tcPr>
          <w:p>
            <w:r/>
            <w:r>
              <w:rPr>
                <w:b w:val="0"/>
                <w:color w:val="17212B"/>
                <w:sz w:val="16"/>
              </w:rPr>
              <w:t>White, Limestone, and Sandstone backgrounds keep slides readable and academic.</w:t>
            </w:r>
          </w:p>
        </w:tc>
      </w:tr>
      <w:tr>
        <w:tc>
          <w:tcPr>
            <w:tcW w:type="dxa" w:w="5184"/>
          </w:tcPr>
          <w:p>
            <w:r/>
            <w:r>
              <w:rPr>
                <w:b/>
                <w:color w:val="17212B"/>
                <w:sz w:val="16"/>
              </w:rPr>
              <w:t>Typography</w:t>
            </w:r>
          </w:p>
        </w:tc>
        <w:tc>
          <w:tcPr>
            <w:tcW w:type="dxa" w:w="5184"/>
          </w:tcPr>
          <w:p>
            <w:r/>
            <w:r>
              <w:rPr>
                <w:b w:val="0"/>
                <w:color w:val="17212B"/>
                <w:sz w:val="16"/>
              </w:rPr>
              <w:t>Oswald is used for headings and Roboto for body text, matching the guide’s approved alternative type direction.</w:t>
            </w:r>
          </w:p>
        </w:tc>
      </w:tr>
      <w:tr>
        <w:tc>
          <w:tcPr>
            <w:tcW w:type="dxa" w:w="5184"/>
          </w:tcPr>
          <w:p>
            <w:r/>
            <w:r>
              <w:rPr>
                <w:b/>
                <w:color w:val="17212B"/>
                <w:sz w:val="16"/>
              </w:rPr>
              <w:t>Layout discipline</w:t>
            </w:r>
          </w:p>
        </w:tc>
        <w:tc>
          <w:tcPr>
            <w:tcW w:type="dxa" w:w="5184"/>
          </w:tcPr>
          <w:p>
            <w:r/>
            <w:r>
              <w:rPr>
                <w:b w:val="0"/>
                <w:color w:val="17212B"/>
                <w:sz w:val="16"/>
              </w:rPr>
              <w:t>Slides repeat the same title position, footer, chart placement, and right-side context panels.</w:t>
            </w:r>
          </w:p>
        </w:tc>
      </w:tr>
      <w:tr>
        <w:tc>
          <w:tcPr>
            <w:tcW w:type="dxa" w:w="5184"/>
          </w:tcPr>
          <w:p>
            <w:r/>
            <w:r>
              <w:rPr>
                <w:b/>
                <w:color w:val="17212B"/>
                <w:sz w:val="16"/>
              </w:rPr>
              <w:t>Logo handling</w:t>
            </w:r>
          </w:p>
        </w:tc>
        <w:tc>
          <w:tcPr>
            <w:tcW w:type="dxa" w:w="5184"/>
          </w:tcPr>
          <w:p>
            <w:r/>
            <w:r>
              <w:rPr>
                <w:b w:val="0"/>
                <w:color w:val="17212B"/>
                <w:sz w:val="16"/>
              </w:rPr>
              <w:t>No unofficial logo recreation was added. The title uses text identification rather than AI-generated marks.</w:t>
            </w:r>
          </w:p>
        </w:tc>
      </w:tr>
    </w:tbl>
    <w:p>
      <w:pPr>
        <w:pStyle w:val="Heading1"/>
      </w:pPr>
      <w:r>
        <w:t>6. Review and quality check</w:t>
      </w:r>
    </w:p>
    <w:p>
      <w:r>
        <w:t>Referenced guide section: “Before presenting or publishing.” The deck was checked against a practical review list before delivery.</w:t>
      </w:r>
    </w:p>
    <w:p>
      <w:pPr>
        <w:pStyle w:val="ListBullet"/>
      </w:pPr>
      <w:r>
        <w:t>Every slide has one main message.</w:t>
      </w:r>
    </w:p>
    <w:p>
      <w:pPr>
        <w:pStyle w:val="ListBullet"/>
      </w:pPr>
      <w:r>
        <w:t>All charts use fictional sample data and are labeled as such.</w:t>
      </w:r>
    </w:p>
    <w:p>
      <w:pPr>
        <w:pStyle w:val="ListBullet"/>
      </w:pPr>
      <w:r>
        <w:t>Color and typography are consistent across the deck.</w:t>
      </w:r>
    </w:p>
    <w:p>
      <w:pPr>
        <w:pStyle w:val="ListBullet"/>
      </w:pPr>
      <w:r>
        <w:t>The deck uses concise copy and avoids paragraph-heavy slides.</w:t>
      </w:r>
    </w:p>
    <w:p>
      <w:pPr>
        <w:pStyle w:val="ListBullet"/>
      </w:pPr>
      <w:r>
        <w:t>Graphics support interpretation rather than serving as filler.</w:t>
      </w:r>
    </w:p>
    <w:p>
      <w:pPr>
        <w:pStyle w:val="ListBullet"/>
      </w:pPr>
      <w:r>
        <w:t>No confidential or personal student information appears in the deck.</w:t>
      </w:r>
    </w:p>
    <w:p>
      <w:pPr>
        <w:pStyle w:val="ListBullet"/>
      </w:pPr>
      <w:r>
        <w:t>Slides were rendered and visually checked for layout problems.</w:t>
      </w:r>
    </w:p>
    <w:p>
      <w:pPr>
        <w:pStyle w:val="Heading1"/>
      </w:pPr>
      <w:r>
        <w:t>7. How to reuse this process</w:t>
      </w:r>
    </w:p>
    <w:p>
      <w:r>
        <w:t>To reuse this approach with real CUA reporting, replace the synthetic data with approved institutional data, verify definitions with the responsible office, and keep the same workflow: define, outline, draft, visualize, review. AI can help with structure and clarity, but final content ownership stays with the presenter.</w:t>
      </w:r>
    </w:p>
    <w:sectPr w:rsidR="00FC693F" w:rsidRPr="0006063C" w:rsidSect="00034616">
      <w:footerReference w:type="default" r:id="rId9"/>
      <w:pgSz w:w="12240" w:h="15840"/>
      <w:pgMar w:top="864" w:right="936" w:bottom="864" w:left="93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color w:val="5D6872"/>
        <w:sz w:val="16"/>
      </w:rPr>
      <w:t>CUA AI Presentation Guide tie-in | Sample undergraduate attendance results deck</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Roboto" w:hAnsi="Roboto"/>
      <w:color w:val="17212B"/>
      <w:sz w:val="19"/>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Oswald" w:hAnsi="Oswald"/>
      <w:b/>
      <w:bCs/>
      <w:color w:val="0A3255"/>
      <w:sz w:val="44"/>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Oswald" w:hAnsi="Oswald"/>
      <w:b/>
      <w:bCs/>
      <w:color w:val="0A3255"/>
      <w:sz w:val="30"/>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Oswald" w:hAnsi="Oswald"/>
      <w:b/>
      <w:bCs/>
      <w:color w:val="0A3255"/>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